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附件C：</w:t>
      </w:r>
    </w:p>
    <w:p>
      <w:pPr>
        <w:jc w:val="center"/>
        <w:rPr>
          <w:sz w:val="32"/>
        </w:rPr>
      </w:pPr>
      <w:r>
        <w:rPr>
          <w:rFonts w:hint="eastAsia"/>
          <w:sz w:val="32"/>
        </w:rPr>
        <w:t>投入设备配置要求</w:t>
      </w:r>
    </w:p>
    <w:p>
      <w:pPr>
        <w:pStyle w:val="2"/>
        <w:rPr>
          <w:rFonts w:ascii="宋体" w:hAnsi="宋体" w:eastAsia="宋体" w:cs="宋体"/>
          <w:b/>
          <w:bCs/>
          <w:color w:val="000000"/>
          <w:kern w:val="0"/>
          <w:lang w:bidi="ar"/>
        </w:rPr>
      </w:pPr>
      <w:r>
        <w:rPr>
          <w:rFonts w:hint="eastAsia"/>
        </w:rPr>
        <w:t>一、设备名称</w:t>
      </w:r>
    </w:p>
    <w:tbl>
      <w:tblPr>
        <w:tblStyle w:val="1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5528"/>
        <w:gridCol w:w="1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780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序号</w:t>
            </w:r>
          </w:p>
        </w:tc>
        <w:tc>
          <w:tcPr>
            <w:tcW w:w="3242" w:type="pct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976" w:type="pct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数量（套）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  <w:tc>
          <w:tcPr>
            <w:tcW w:w="3242" w:type="pct"/>
          </w:tcPr>
          <w:p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全自动化学发光免疫分析仪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</w:t>
            </w:r>
          </w:p>
        </w:tc>
        <w:tc>
          <w:tcPr>
            <w:tcW w:w="3242" w:type="pct"/>
          </w:tcPr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eastAsia="zh-Hans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eastAsia="zh-Hans" w:bidi="ar"/>
              </w:rPr>
              <w:t>全自动化学发光免疫分析仪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</w:t>
            </w:r>
          </w:p>
        </w:tc>
        <w:tc>
          <w:tcPr>
            <w:tcW w:w="3242" w:type="pct"/>
          </w:tcPr>
          <w:p>
            <w:pPr>
              <w:rPr>
                <w:rFonts w:ascii="Times New Roman" w:hAnsi="Times New Roman" w:eastAsia="宋体" w:cs="Times New Roman"/>
                <w:sz w:val="24"/>
                <w:lang w:eastAsia="zh-Hans"/>
              </w:rPr>
            </w:pPr>
            <w:r>
              <w:rPr>
                <w:rFonts w:ascii="Times New Roman" w:hAnsi="Times New Roman" w:eastAsia="宋体" w:cs="Times New Roman"/>
                <w:sz w:val="24"/>
                <w:lang w:eastAsia="zh-Hans"/>
              </w:rPr>
              <w:t>全自动生化分析仪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pct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4</w:t>
            </w:r>
          </w:p>
        </w:tc>
        <w:tc>
          <w:tcPr>
            <w:tcW w:w="3242" w:type="pct"/>
          </w:tcPr>
          <w:p>
            <w:pPr>
              <w:rPr>
                <w:rFonts w:ascii="Times New Roman" w:hAnsi="Times New Roman" w:eastAsia="宋体" w:cs="Times New Roman"/>
                <w:sz w:val="24"/>
                <w:lang w:eastAsia="zh-Hans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全自动尿液分析</w:t>
            </w:r>
            <w:r>
              <w:rPr>
                <w:rFonts w:ascii="Times New Roman" w:hAnsi="Times New Roman" w:eastAsia="宋体" w:cs="Times New Roman"/>
                <w:sz w:val="24"/>
                <w:lang w:eastAsia="zh-Hans"/>
              </w:rPr>
              <w:t>流水线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pct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5</w:t>
            </w:r>
          </w:p>
        </w:tc>
        <w:tc>
          <w:tcPr>
            <w:tcW w:w="3242" w:type="pct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全自动血沉压积测试仪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pct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</w:p>
        </w:tc>
        <w:tc>
          <w:tcPr>
            <w:tcW w:w="3242" w:type="pct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全自动血流变测试仪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pct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7</w:t>
            </w:r>
          </w:p>
        </w:tc>
        <w:tc>
          <w:tcPr>
            <w:tcW w:w="3242" w:type="pct"/>
          </w:tcPr>
          <w:p>
            <w:pPr>
              <w:tabs>
                <w:tab w:val="left" w:pos="916"/>
              </w:tabs>
              <w:rPr>
                <w:rFonts w:ascii="Times New Roman" w:hAnsi="Times New Roman" w:eastAsia="宋体" w:cs="Times New Roman"/>
                <w:sz w:val="24"/>
                <w:lang w:eastAsia="zh-Hans"/>
              </w:rPr>
            </w:pPr>
            <w:r>
              <w:rPr>
                <w:rFonts w:ascii="Times New Roman" w:hAnsi="Times New Roman" w:eastAsia="宋体" w:cs="Times New Roman"/>
                <w:sz w:val="24"/>
                <w:lang w:eastAsia="zh-Hans"/>
              </w:rPr>
              <w:t>全自动粪便分析仪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pct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8</w:t>
            </w:r>
          </w:p>
        </w:tc>
        <w:tc>
          <w:tcPr>
            <w:tcW w:w="3242" w:type="pct"/>
          </w:tcPr>
          <w:p>
            <w:pPr>
              <w:tabs>
                <w:tab w:val="left" w:pos="916"/>
              </w:tabs>
              <w:rPr>
                <w:rFonts w:ascii="Times New Roman" w:hAnsi="Times New Roman" w:eastAsia="宋体" w:cs="Times New Roman"/>
                <w:sz w:val="24"/>
                <w:lang w:eastAsia="zh-Hans"/>
              </w:rPr>
            </w:pPr>
            <w:r>
              <w:rPr>
                <w:rFonts w:ascii="Times New Roman" w:hAnsi="Times New Roman" w:eastAsia="宋体" w:cs="Times New Roman"/>
                <w:sz w:val="24"/>
                <w:lang w:eastAsia="zh-Hans"/>
              </w:rPr>
              <w:t>免疫荧光分析仪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pct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9</w:t>
            </w:r>
          </w:p>
        </w:tc>
        <w:tc>
          <w:tcPr>
            <w:tcW w:w="3242" w:type="pct"/>
          </w:tcPr>
          <w:p>
            <w:pPr>
              <w:rPr>
                <w:rFonts w:ascii="Times New Roman" w:hAnsi="Times New Roman" w:eastAsia="宋体" w:cs="Times New Roman"/>
                <w:sz w:val="24"/>
                <w:lang w:eastAsia="zh-Hans"/>
              </w:rPr>
            </w:pPr>
            <w:r>
              <w:rPr>
                <w:rFonts w:ascii="Times New Roman" w:hAnsi="Times New Roman" w:eastAsia="宋体" w:cs="Times New Roman"/>
                <w:sz w:val="24"/>
                <w:lang w:eastAsia="zh-Hans"/>
              </w:rPr>
              <w:t>离心机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80" w:type="pct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0</w:t>
            </w:r>
          </w:p>
        </w:tc>
        <w:tc>
          <w:tcPr>
            <w:tcW w:w="3242" w:type="pct"/>
          </w:tcPr>
          <w:p>
            <w:pPr>
              <w:rPr>
                <w:rFonts w:ascii="Times New Roman" w:hAnsi="Times New Roman" w:eastAsia="宋体" w:cs="Times New Roman"/>
                <w:sz w:val="24"/>
                <w:lang w:eastAsia="zh-Hans"/>
              </w:rPr>
            </w:pPr>
            <w:r>
              <w:rPr>
                <w:rFonts w:ascii="Times New Roman" w:hAnsi="Times New Roman" w:eastAsia="宋体" w:cs="Times New Roman"/>
                <w:sz w:val="24"/>
                <w:lang w:eastAsia="zh-Hans"/>
              </w:rPr>
              <w:t>低温冷藏箱（2-8°）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pct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3242" w:type="pct"/>
          </w:tcPr>
          <w:p>
            <w:pPr>
              <w:rPr>
                <w:rFonts w:ascii="Times New Roman" w:hAnsi="Times New Roman" w:eastAsia="宋体" w:cs="Times New Roman"/>
                <w:sz w:val="24"/>
                <w:lang w:eastAsia="zh-Hans"/>
              </w:rPr>
            </w:pPr>
            <w:r>
              <w:rPr>
                <w:rFonts w:ascii="Times New Roman" w:hAnsi="Times New Roman" w:eastAsia="宋体" w:cs="Times New Roman"/>
                <w:sz w:val="24"/>
                <w:lang w:eastAsia="zh-Hans"/>
              </w:rPr>
              <w:t>低温冷藏箱（-25°）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pct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3242" w:type="pct"/>
          </w:tcPr>
          <w:p>
            <w:pPr>
              <w:rPr>
                <w:rFonts w:ascii="Times New Roman" w:hAnsi="Times New Roman" w:eastAsia="宋体" w:cs="Times New Roman"/>
                <w:sz w:val="24"/>
                <w:lang w:eastAsia="zh-Hans"/>
              </w:rPr>
            </w:pPr>
            <w:r>
              <w:rPr>
                <w:rFonts w:ascii="Times New Roman" w:hAnsi="Times New Roman" w:eastAsia="宋体" w:cs="Times New Roman"/>
                <w:sz w:val="24"/>
                <w:lang w:eastAsia="zh-Hans"/>
              </w:rPr>
              <w:t>UPS</w:t>
            </w:r>
          </w:p>
        </w:tc>
        <w:tc>
          <w:tcPr>
            <w:tcW w:w="976" w:type="pct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</w:tr>
    </w:tbl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lang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eastAsia="zh-CN" w:bidi="ar"/>
        </w:rPr>
        <w:t>备注：投入设备包括但不限于以上设备，须切实满足检验项目。</w:t>
      </w:r>
    </w:p>
    <w:p>
      <w:pPr>
        <w:pStyle w:val="2"/>
        <w:rPr>
          <w:rFonts w:ascii="宋体" w:hAnsi="宋体" w:eastAsia="宋体" w:cs="宋体"/>
          <w:color w:val="000000"/>
          <w:kern w:val="0"/>
          <w:sz w:val="24"/>
          <w:lang w:bidi="ar"/>
        </w:rPr>
      </w:pPr>
      <w:r>
        <w:rPr>
          <w:rFonts w:hint="eastAsia"/>
        </w:rPr>
        <w:t>二、设备参数</w:t>
      </w:r>
    </w:p>
    <w:tbl>
      <w:tblPr>
        <w:tblStyle w:val="11"/>
        <w:tblW w:w="83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02"/>
        <w:gridCol w:w="66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bidi="ar"/>
              </w:rPr>
              <w:t>全自动化学发光免疫分析仪1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1、方法学：磁微粒化学发光；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2、最大测试速度：≥120测试/小时；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3、有</w:t>
            </w:r>
            <w:r>
              <w:rPr>
                <w:rStyle w:val="22"/>
                <w:rFonts w:hint="default" w:ascii="Times New Roman" w:hAnsi="Times New Roman" w:cs="Times New Roman"/>
                <w:sz w:val="21"/>
                <w:szCs w:val="21"/>
                <w:lang w:bidi="ar"/>
              </w:rPr>
              <w:t>额外专用、独立的急诊通道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4、试剂位：≥20个；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5、样本位：≥50个，支持原始管上机；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6、单个样本架位置：≥10样本/架；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7、进样方式：样本架进样，可单个、批量进样；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8、加样本方式：钢针加样，具有堵针、液面自动探测功能；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9、样本类型：支持血清，血浆；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10、定标方式：自带主曲线，可开展试剂都采用两点或三点定标；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11、试剂在机冷藏温度：2~8℃；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12、混匀方式：有独立样本与试剂混匀位置；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13、底物液：可在机两套底物液，无需停机更换；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14、反应杯一次最大存储量：≥500；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15、反应杯装载方式：散装倒入，自动排序，非盒装；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16、废物收集：废料收集装置≥2，倾倒固体废料不影响实验；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17、耗材余量与补充、更换：自动监控试剂、清洗液、反应杯余量，废物将满时报警，所有耗材补充或更换不影响实验进行；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bookmarkStart w:id="0" w:name="_GoBack"/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18、LIS系统：支持双向LIS；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19、最短首结果时间：≤15min（心肌标志物项目）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20、占地面积：≤0.65㎡；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21、试剂项目：覆盖甲状腺功能、性激素、心肌标志物、炎症指标等，提供使用磁微粒化学发光法检测凝血酶-抗凝血酶Ⅲ复合物、组织型纤溶酶原激活剂-抑制剂1复合物、纤溶酶-α2纤溶酶抑制剂复合物、血栓调节蛋白、D-二聚体和纤维蛋白(原)降解产物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22、D-二聚体的线性范围应至少覆盖0.1～4 μg/mL；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23、试剂规格：盒内自带校准品、质控品，不需另购或赠送。（投入是使用前提供试剂注册证证明）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全自动化学发光免疫分析仪2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1、反应原理：直接化学发光-吖啶酯等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2、测试速度：单模块检测速度≥200测试/小时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3、试剂位：单模块试剂位≥20个，具备冷藏功能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4、单模块样本位：≥140个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5、样本类型：血清、血浆、其他人体体液等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6、反应杯：一次性反应杯，减少污染率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7、检测模式：批量检测、急诊模式、自动复测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8、项目套餐：须涵盖肿瘤标志物套餐、甲状腺功能套餐、性激素套餐、心肌标志物套餐、炎症套餐、高血压套餐糖代谢套餐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9、重复性：CV≤5%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10、稳定性：≤±10%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11、相关性：相关系数（r）≥0.99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12、批内重复性：CV≤10%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13、携带污染率：≤0.00001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14、反应区温控：稳定性：37.0±0.5℃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15、试剂区温控：稳定性：2.0-8.0℃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16、网络功能：支持链接LIS系统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17、适用电源：AC220V 50HZ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3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全自动生化分析仪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检测速度：生化恒速≥800T/H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测试原理：比色法，比浊法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3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分析方法：终点法，固定时间法，动力学法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4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同时分析项目：≥ 100个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5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试剂盘：≥100个试剂位，24小时2~8℃试剂仓连续冷藏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试剂/样本针：试剂针具有液面探测、随量跟踪、立体防撞功能；自动内、外壁清洗功能；样本针具有堵针（凝块）检测功能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试剂量：10～350μL，0.5μL步进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样本位：≥ 175个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样本量：1.2～50μL，0.1μL步进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样本处理：具有急诊样本优先处理功能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清洗系统：自动8阶温水清洗；携带污染率≤ 0.005%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12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反应杯：≥ 165个，支持单个更换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13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最小反应液体积：≤ 90μL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14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光源系统：卤素灯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15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光学系统：光栅后分光，可选择波长≥ 16个，340～850nm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16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恒温系统：非水浴，避免日常维护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17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吸光度线性范围：0～4.5Abs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18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搅拌系统：2组独立搅拌系统，搅拌针≥4根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19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配套试剂：提供原厂生产配套生化试剂，试剂项目≥90个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 w:bidi="ar"/>
              </w:rPr>
              <w:t>0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操作系统：Windows操作系统，支持双向LIS接入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 w:bidi="ar"/>
              </w:rPr>
              <w:t>1</w:t>
            </w:r>
            <w:r>
              <w:rPr>
                <w:rStyle w:val="22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、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sz w:val="21"/>
                <w:szCs w:val="21"/>
                <w:lang w:bidi="ar"/>
              </w:rPr>
              <w:t>系统接口：TCP/IP网络接口，支持标准RS-232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4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荧光免疫层析分析仪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1.产地：原装生产配送，国内有NMPA等权威认证。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2. 规格型号：所投标产品的规格型号必须与NMPA注册登记表一致。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3．画面显示：≥8英寸彩色液晶显示屏。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4. 操作方式：全触屏操作，无软性按键。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5．检测方法：荧光免疫层析法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6. 数据通讯接口涵盖有线网络接口、无线网络接口、USB接口、RFID 接口。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7. 操作系统：Linux。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8. 仪器体积≤280mm×250mm×200mm（长×宽×高）。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9. 裸机重量≤3.8Kg。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10. 带锂电池组，断电可使用，待机≥8小时。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11.数据传输：可连接LIS系统。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12. 厂家可提供配套的POCT质量管理软件。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13.储存空间：可储存≥25000条检测结果。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14．样本类型：全血、血清、血浆、末梢血、尿液。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15．检测通道数：≥3个。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16. 厂家配置扫码枪。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17.检测模式：孵育检测。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18.具有质控模块，质控结果能够生成L-J图。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19.温度控制系统：具备孵育模块，且显示屏具有温度显示功能。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20．检测时间：3-15分钟内出检测结果。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21. 稳定的光电信号通路，光学CV值：＜1%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22.电源条件：220V 50Hz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23. 环境温度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∶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10℃-30℃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24. 环境湿度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∶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 xml:space="preserve"> 20%-85%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25. 大气压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∶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70kPa-106kPa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26. 使用期限/失效日期：5年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5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全自动血沉压积测试仪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1、采用 大屏幕显示触摸控制技术，屏幕尺寸≥7寸，具备所有检测通道及状态实时显示功能；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2、采用红外扫描、模拟光电技术；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3、样品位（孔）：100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4、 血沉测试速度（Ts/h）:200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5、压积测试速度（Ts/h）:15000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6、具有压积独立测量功能；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7、具有红细胞沉降过程中的最大沉降速度 Vm 及发生时间 Tm 值检测功能；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8、具有动态血沉曲线显示打印功能；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9、 具有自动换算血沉方程 k 值；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10、具有可选择 30min 或 60min 血沉独立测量功能及血沉和压积组合联测功能；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11、具有单个或批量测试结果查询、打印功能；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12、显示结果温度设定换算功能：仪器具有选择环境温度补偿功能。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13、测试结果存储不少于 16G；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14、具有液面跟踪扫描功能；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15、具有标本异常，自动识别提示功能；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16、具有断电后数据保存功能；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17、条码扫描功能(选配)；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18、 配有 RS-232 和 USB 接口，具有数据转输功能。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6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全自动血流变测试仪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1、锥/板式测试机芯：1 个；毛细管式测试机芯： 1 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2、全血测试时间：≤ 30s / 标本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3、锥/板机芯具有双排液孔防堵功能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4、可进行全血和血浆及双份血浆并行同步测试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5、血浆测试时间：≤ 0.4s / 标本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6、精度误差≤±1% ；重复性误差≤1％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7、双加样系统，加样针具有液面感应自动分离血浆功能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8、双 90 孔位全自动可互换式样品盘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9、采用双独立控制系统，确保不停机可持续工作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10、锥/板机芯具有轴心水平定位功能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11、仪器具有 LED 工作照明系统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12、可提供经药监局注册原厂配套的牛顿、非牛顿流体质控物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13、全血粘度测量范围：0～70mPa.s（切应力 0～14000mPa）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14、加样量可调范围：50 ul～2000 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15、全血测试用血量：≤ 700ul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16、血浆测试用血量：≤ 100ul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17、切变率范围：1s-1～200s-1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18、为保障产品质量，生产企业应具有 CMD 质量体系认证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19、微电脑智能温控系统，精度±0.1℃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20、挤压式强力蠕动泵进排液系统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21、快速、全量程、逐点、稳态全血测量方式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22、结果异常，清洗液不足，废液溢出报警功能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23、全自动及手动双重测试功能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24、自定义开放式报告单模式，并可数据传输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25、投入使用前提供非牛顿流体粘度标准物质国家二级标准物质证书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val="en-US" w:eastAsia="zh-CN" w:bidi="ar"/>
              </w:rPr>
              <w:t>7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尿液分析流水线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1、检测系统：采用CIS图像传感器检测系统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2、检测波长数量：≥5个波长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3、测试项目：≥14项，并提供微量白蛋白与尿肌酐的比值参数（ACR比值）和尿蛋白与尿肌酐比值（PCR比值）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4、测试速度：≥300个样本/小时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5、显示器：≥10.4英寸触摸式彩色液晶显示屏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6、样本架功能：支持最大20个待测试管架，360°旋转样本进行条码读取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7、消耗品状态实时监控功能：分析仪能对清洗液、废液的状态进行实时监控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8、尿液比重计功能：线性范围 1.000～1.055 内，偏倚范围不超过±0.002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9、加强清洗功能：分析仪能对浊度计中检测出的高浑浊度样品，自动加强清洗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10、混匀功能：分析仪具有混匀功能，可对样本进行混匀操作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11、样本量检测功能：采用液面感应技术，当样本量不足以检测时，分析仪有报警提示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12、废试纸条实时监控功能：如费试纸条已满，会自动报警提示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13、检测区域温控功能：仪器会自动感应检测区域的温度值，计算出与设计值的差异，自动机型温度校正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14、试纸图像显示功能：分析仪具有捕捉、显示并存储在加入样本后的尿试纸条图像的功能，用于结果审核与查阅等方面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15、数据存储量：≥200万个样本数据，10万个样本图片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16、试纸仓容量：≥200条试纸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17、尿样需求量：≤1mL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18、重复性：分析仪反射率测试结果的变异系数≤0.9%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19、稳定性：分析仪开机8h内，反射率测试结果的变异系数≤0.9%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20、携带污染：检测除比重和PH外各测试项目最高浓度结果的阳性样本，随后检测阴性样本，阴性样本的结果不得出阳性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尿液有形成分分析模块参数：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1、工作原理：采用数字成像自动识别、平面流式细胞技术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2、检测项目：可检测尿液中多种有形成分，自动识别项目≥30项；可检测尿液电导率和渗透压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3、检测速度：≥120个/小时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4、识别率：红细胞≥97%，白细胞≥93%，管型≥87%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5、红细胞形态学检测功能：可通过红细胞形态的鉴定发出红细胞形态学报告，可提供3个报告参数，一个直方图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6、分析仪能对检测结果智能审核，自动提示阳性样本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7、最小吸样量：≥1.2ml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8、可提供标本检测时的原始视频，可暂停、慢速播放及按帧查看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9、存储及查询功能：≥20万个结果，可在需要时查询，断电后存储数据不丢失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10、携带污染率：≤0.05%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11、联机功能：分析仪可与尿液分析仪联机，并自动匹配测试结果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12、分析仪对部分故障可自动诊断，并进行自动维护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13、输入输出端口：分析仪具备鼠标接口、键盘接口、USB接口、串口、网络接口等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14、清洗排堵功能：分析仪配备强力清洗试剂，可定期清洗及维护液路，且具备反冲排堵功能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15、自动旋转样本进行条码读取，并对其进行记录、显示及保存，条码朝向无要求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16、支持密闭标本的直接采样（穿刺采样），无需人工开盖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17、具有同品牌的校准物，并能提供五种浓度水平的质控液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val="en-US" w:eastAsia="zh-CN" w:bidi="ar"/>
              </w:rPr>
              <w:t>8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全自动粪便分析仪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1、用途：用于粪便样本全自动检测。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2、系统配置:</w:t>
            </w:r>
          </w:p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2.1、系统主机：样本架式轨道循环上样系统、样本性状自动摄像系统、多步骤气动样本稀释混匀系统、双通道自动聚焦显微镜摄像系统、金标卡自动检测系统、自动废物回收系统、全方位故障报警系统。2.2、配备专用图文处理电脑工作站。</w:t>
            </w:r>
          </w:p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2.2、配备专用图文处理电脑工作站。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3、所配软件为该机型的最新版本。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5、配置图形自动识别软件。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6、系统功能要求：样本采集后运送、检测、回收全过程封闭。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7、全自动实现样本颜色与性状拍照与结果自动判读；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8、样本有形成分：细胞、食物残留、细菌、病毒、寄生虫虫体及虫卵、原虫、结晶与其它颗粒等显微镜检拍照与结果自动判读；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9、样本免疫学项目：粪便隐血、转铁蛋白、乳糖检测、幽门螺杆菌、腺病毒、轮状病毒、钙卫蛋白、乳铁蛋白等免疫层析法（含金标法）检测与结果自动判读。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10、样本检测速度：≥60标本/小时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11、样本采集管要求：全封闭设计，采集管内部具有不锈钢材质滤网结构，可有效富集寄生虫卵；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12、进样方式：样本架循环轨道式进样，急诊和常规标本随到随检，具备无限制样本处理能力，一次进样≥50个；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13、样本性状摄像单元：高清CMOS摄像头，性状照片能储存与调用；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14、样本稀释混匀过滤单元：自动穿刺注入稀释液稀释，并可进行智能二次稀释。满足所有标本的检测要求，尤其是满足虫卵标本的集卵要求；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15、高频往复式气动混匀，保证样本充分混匀而不破坏样本中有形成分；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 xml:space="preserve"> 16、CMOS LED显微镜多视野断层扫描成像，自动进行低倍镜（x10）和高倍镜（x40）切换。低倍镜和高倍镜均能对同一视野进行多层多焦距采集高清晰图像，用于检测白细胞、红细胞、霉菌、脂肪球、钩虫卵、蛔虫卵、鞭虫卵、蛲虫卵、绦虫卵、肝吸虫卵、溶组织阿米巴、人牙囊原虫、蓝氏贾第鞭毛虫包囊、蓝氏贾第鞭毛虫滋养体、夏科雷登结晶、粪类圆线虫、梅氏唇鞭毛虫包囊、梅氏唇鞭毛虫滋养体、日本血吸虫卵、膜壳绦虫卵等镜下所有有成成分项目，仪器具备寄生虫卵自动追踪功能，低倍镜定位，高倍镜追踪放大成像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17、试剂卡仓数量≥3个，单卡盒装卡≥50张，一次性可装载试剂卡≥150张。具有自动送卡、卡量监测报警、不停机加卡功能；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18、具备自动传输、检测、回收金标卡功能；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 xml:space="preserve"> 19、试剂卡反应时间：所有试剂卡反应时间：≤4分钟，具有自动摄取金标卡反应结果图像和自动判读结果功能；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20、自动图形识别软件:能对白细胞、红细胞、霉菌、脂肪球、钩虫卵、蛔虫卵、鞭虫卵、蛲虫卵、绦虫卵、肝吸虫卵、溶组织阿米巴、人牙囊原虫、蓝氏贾第鞭毛虫包囊、蓝氏贾第鞭毛虫滋养体、夏科雷登结晶、粪类圆线虫、梅氏唇鞭毛虫包囊、梅氏唇鞭毛虫滋养体、日本血吸虫卵、膜壳绦虫卵等≥20种有形成分进行自动图形识别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14、LIS系统双向通讯功能，内置条码扫描。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21、配置：配备电脑1台，接入LIS系统。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val="en-US" w:eastAsia="zh-CN" w:bidi="ar"/>
              </w:rPr>
              <w:t>9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离心机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1.金属机箱，不锈钢离心腔。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2.自吸式门锁，可轻松打开/关闭上盖；可设定自动/手动开盖方式。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3.微机控制，高清液晶显示、快捷方便、显示直观。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4.具有超速、不平衡、开盖自动停机等多项保护功能。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5.可设定启动计时/到达转速计时模式，具有瞬时离心功能。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6.升速曲线≥9 档，减速曲线选择≥10 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7.可对运行数据进行查询，并可外接 U 盘进行导出保存。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8.自由设定梯度离心程序≥5 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9.具有运转前预冷和开盖除霜功能，并有压缩机过热保护功能。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10.运行中可随时更改转速、离心力、时间参数，无需停机。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11.最高转速≥4000r/min。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val="en-US" w:eastAsia="zh-CN" w:bidi="ar"/>
              </w:rPr>
              <w:t>0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低温冷藏箱（2-8°）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 xml:space="preserve">1、立式，箱内有效容积≥490L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2、箱内温度控制范围：2℃～8℃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 xml:space="preserve">3、数字显示箱内温度，微电脑控制,显示精度0.1，带电源指示灯，可显示箱内温度以及平均温度。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 xml:space="preserve">4、可实现超温报警、断电报警、开门报警、传感器故障报警、电池电量低报警，带远程报警接口.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 xml:space="preserve">5、配有12V 4AH电池，断电后可声光报警24小时。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6、微电脑控制，可数字显示箱内温度值，匹配多路传感器，避免传感器故障安全运行；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7、采用无氟环保节能制冷剂及国际品牌压缩机，质量可靠，使用寿命有保障；无冷凝风机。蒸发器风机是EBM风机。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8、国际名牌内风机匹配专业风道，箱内温度均衡；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9、双层玻璃门体，采用双层玻璃门体离线镀膜设计，满足32℃，85%湿度无凝露；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10、门体可实现90°自动关门。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11、带有4个可移动脚轮和2个可锁定的止档，方便产品移动和固定使用；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12、电压：220V±10％，功率小≤330W.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13、所投产品的制造厂家通过ISO9001、ISO14001、ISO13485认证，职业安全健康45001认证，具有医疗器械生产许可证。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14、冷凝水自动蒸发功能，无需人工倒水；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15、12V直流LED冷光源设计，亮度高，能耗低；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16、门体带锁设计，且是一把钥匙一把锁结构，保证存储物品的安全；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 xml:space="preserve">17、配置5个带价目条的搁架，可以根据实际使用情况调整搁架间距，保证箱内空间利用率，且配备标签夹；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18、产品内胆采用HIPS板，防腐更优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val="en-US" w:eastAsia="zh-CN" w:bidi="ar"/>
              </w:rPr>
              <w:t>1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低温冷藏箱（-25°）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1、样式：立式    容积≥300L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2、温度控制：-10℃~-25℃可调，微电脑控制，数码显示箱内温度。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3、多重保护功能：开机延时、停机间隔、键盘锁等。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4、两种故障报警：高低温报警，温度可设定；传感器故障报警；蜂鸣器和灯光闪烁两种报警方式。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5、安全内嵌门锁，防止随意开启：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6、加厚保温层、超微孔发泡技术、保温效果好，无氟发泡、无氟制冷剂、绿色环保。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7、合理优化搁架式蒸发冷凝系统设计，制冷强劲。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8、具备强制制冷功能。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9、安装压力平衡阀，开门更省力。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10、宽电压设计。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11、宽气候带设计，适合10°C~32°C环境使用。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12、透明抽屉，方便观察箱内物品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13 、企业资质：要求产品有相关的医疗器械生产许可证、医疗器械注册表（注册证标明型号），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具备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产品检验报告、企业通过ISO9001、13485质量管理体系认证证书、45001职业健康安全管理体系、ISO14001环境管理体系认证证书等。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val="en-US" w:eastAsia="zh-CN" w:bidi="ar"/>
              </w:rPr>
              <w:t>2</w:t>
            </w:r>
          </w:p>
        </w:tc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bidi="ar"/>
              </w:rPr>
              <w:t>UPS</w:t>
            </w: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1、额定容量 ：20KVA/16KW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2、转换时间：≤0ms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 xml:space="preserve">3、状态显示：LED+LCD（显示输入电压、输出电压、频率、电池容量、输出功率百分比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4、支持软件界面：RS-232 Intelligent Slot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5、输入电压范围：三相四线+地线 380V±20%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6、输入频率：50Hz/60Hz±10%Hz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7、输出电压范围：220/230/240VAC(1±1%)逆变输出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8、输出频率：市电模式:50Hz/60Hz±10%Hz       电池模式：50Hz/60Hz±0.5Hz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9、输出峰值因数：3：1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10、输出波形：正弦波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11、电池型号: 外置电池 外接192V电池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12、电池充电时间： ≥8小时 ≥8 Hours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13、充电电流：5A～10A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14、电池保护：有充电过压保护，电池深度放电保护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15、过载保护：105%～125% 1分钟转旁路；125%～150% 30秒转旁路；&gt;150% 0.5秒转旁路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16、短路保护：电池工作状态：输出短路后立即关闭输出,蜂鸣器发出警报声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17、充电保护：采用TOP充电,加快电池充电速度,延长电池使用寿命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18、尖峰保护：尖峰浪涌吸收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19、温度：0-40℃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20相对湿度：20%-90%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21、大气压力：80～106Kpa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22、机身净重：≤57kg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</w:pPr>
          </w:p>
        </w:tc>
        <w:tc>
          <w:tcPr>
            <w:tcW w:w="6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  <w:lang w:bidi="ar"/>
              </w:rPr>
              <w:t>23、机身尺寸：≤500*250*615</w: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b/>
          <w:bCs/>
          <w:color w:val="auto"/>
          <w:kern w:val="0"/>
          <w:sz w:val="24"/>
          <w:lang w:eastAsia="zh-Hans" w:bidi="ar"/>
        </w:rPr>
      </w:pPr>
    </w:p>
    <w:bookmarkEnd w:id="0"/>
    <w:p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宋体-简">
    <w:altName w:val="宋体"/>
    <w:panose1 w:val="00000000000000000000"/>
    <w:charset w:val="86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EB764C"/>
    <w:multiLevelType w:val="multilevel"/>
    <w:tmpl w:val="76EB764C"/>
    <w:lvl w:ilvl="0" w:tentative="0">
      <w:start w:val="1"/>
      <w:numFmt w:val="decimal"/>
      <w:suff w:val="nothing"/>
      <w:lvlText w:val="%1. "/>
      <w:lvlJc w:val="left"/>
      <w:pPr>
        <w:ind w:left="1283" w:hanging="1283"/>
      </w:pPr>
      <w:rPr>
        <w:rFonts w:hint="eastAsia" w:ascii="宋体" w:eastAsia="宋体"/>
        <w:b/>
        <w:i w:val="0"/>
        <w:sz w:val="24"/>
      </w:rPr>
    </w:lvl>
    <w:lvl w:ilvl="1" w:tentative="0">
      <w:start w:val="1"/>
      <w:numFmt w:val="decimal"/>
      <w:suff w:val="nothing"/>
      <w:lvlText w:val="%1.%2 "/>
      <w:lvlJc w:val="left"/>
      <w:pPr>
        <w:ind w:left="576" w:hanging="576"/>
      </w:pPr>
      <w:rPr>
        <w:rFonts w:hint="default" w:ascii="Times New Roman" w:hAnsi="Times New Roman" w:eastAsia="宋体" w:cs="Times New Roman"/>
        <w:b w:val="0"/>
        <w:i w:val="0"/>
        <w:sz w:val="24"/>
        <w:szCs w:val="21"/>
      </w:rPr>
    </w:lvl>
    <w:lvl w:ilvl="2" w:tentative="0">
      <w:start w:val="1"/>
      <w:numFmt w:val="decimal"/>
      <w:pStyle w:val="5"/>
      <w:suff w:val="nothing"/>
      <w:lvlText w:val="%1.%2.%3 "/>
      <w:lvlJc w:val="left"/>
      <w:pPr>
        <w:ind w:left="0" w:firstLine="0"/>
      </w:pPr>
      <w:rPr>
        <w:rFonts w:hint="default" w:ascii="Times New Roman" w:hAnsi="Times New Roman" w:eastAsia="宋体" w:cs="Times New Roman"/>
        <w:b w:val="0"/>
        <w:i w:val="0"/>
        <w:sz w:val="24"/>
        <w:szCs w:val="21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sz w:val="21"/>
        <w:szCs w:val="21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ZmI2MDFmNDA5ZGM1MDk0MjVmMGQ3MGM5NzYyZDcifQ=="/>
  </w:docVars>
  <w:rsids>
    <w:rsidRoot w:val="001B0B20"/>
    <w:rsid w:val="001B0B20"/>
    <w:rsid w:val="0038584A"/>
    <w:rsid w:val="00DD0D8D"/>
    <w:rsid w:val="035166A0"/>
    <w:rsid w:val="0A634F0B"/>
    <w:rsid w:val="0BA852CC"/>
    <w:rsid w:val="0E8A6F0A"/>
    <w:rsid w:val="116626E8"/>
    <w:rsid w:val="15107A3E"/>
    <w:rsid w:val="18821CB9"/>
    <w:rsid w:val="19F85670"/>
    <w:rsid w:val="1A4C776A"/>
    <w:rsid w:val="1F27625E"/>
    <w:rsid w:val="22973A78"/>
    <w:rsid w:val="2640208A"/>
    <w:rsid w:val="2DBEF035"/>
    <w:rsid w:val="2E7655A4"/>
    <w:rsid w:val="355157DD"/>
    <w:rsid w:val="3E377C66"/>
    <w:rsid w:val="47376F28"/>
    <w:rsid w:val="4EB636C6"/>
    <w:rsid w:val="4FBE01E7"/>
    <w:rsid w:val="56ED13B1"/>
    <w:rsid w:val="5728063B"/>
    <w:rsid w:val="58313520"/>
    <w:rsid w:val="5AAA0912"/>
    <w:rsid w:val="5CA56EEF"/>
    <w:rsid w:val="5E4044BD"/>
    <w:rsid w:val="61FA4982"/>
    <w:rsid w:val="6202694B"/>
    <w:rsid w:val="65CD2ADA"/>
    <w:rsid w:val="67DB0933"/>
    <w:rsid w:val="69D63F27"/>
    <w:rsid w:val="6B770389"/>
    <w:rsid w:val="6E843898"/>
    <w:rsid w:val="717E737E"/>
    <w:rsid w:val="73C92407"/>
    <w:rsid w:val="75FD1B50"/>
    <w:rsid w:val="7BD06A28"/>
    <w:rsid w:val="BDF9C42D"/>
    <w:rsid w:val="DEFBEF5D"/>
    <w:rsid w:val="EF4FE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tLeast"/>
      <w:outlineLvl w:val="0"/>
    </w:pPr>
    <w:rPr>
      <w:rFonts w:ascii="Times New Roman" w:hAnsi="Times New Roman" w:eastAsia="宋体" w:cs="Times New Roman"/>
      <w:b/>
      <w:kern w:val="44"/>
      <w:sz w:val="44"/>
    </w:rPr>
  </w:style>
  <w:style w:type="paragraph" w:styleId="4">
    <w:name w:val="heading 2"/>
    <w:basedOn w:val="1"/>
    <w:next w:val="1"/>
    <w:link w:val="15"/>
    <w:semiHidden/>
    <w:unhideWhenUsed/>
    <w:qFormat/>
    <w:uiPriority w:val="0"/>
    <w:pPr>
      <w:keepNext/>
      <w:keepLines/>
      <w:ind w:right="240" w:rightChars="100"/>
      <w:jc w:val="left"/>
      <w:outlineLvl w:val="1"/>
    </w:pPr>
    <w:rPr>
      <w:rFonts w:ascii="Arial" w:hAnsi="Arial" w:eastAsia="黑体" w:cs="Times New Roman"/>
      <w:kern w:val="10"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outlineLvl w:val="2"/>
    </w:pPr>
    <w:rPr>
      <w:rFonts w:hAnsi="宋体"/>
      <w:bCs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 w:val="28"/>
      <w:szCs w:val="28"/>
    </w:rPr>
  </w:style>
  <w:style w:type="paragraph" w:styleId="6">
    <w:name w:val="annotation text"/>
    <w:basedOn w:val="1"/>
    <w:link w:val="25"/>
    <w:uiPriority w:val="0"/>
    <w:pPr>
      <w:jc w:val="left"/>
    </w:pPr>
  </w:style>
  <w:style w:type="paragraph" w:styleId="7">
    <w:name w:val="Balloon Text"/>
    <w:basedOn w:val="1"/>
    <w:link w:val="27"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10">
    <w:name w:val="annotation subject"/>
    <w:basedOn w:val="6"/>
    <w:next w:val="6"/>
    <w:link w:val="26"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annotation reference"/>
    <w:basedOn w:val="13"/>
    <w:uiPriority w:val="0"/>
    <w:rPr>
      <w:sz w:val="21"/>
      <w:szCs w:val="21"/>
    </w:rPr>
  </w:style>
  <w:style w:type="character" w:customStyle="1" w:styleId="15">
    <w:name w:val="标题 2 Char"/>
    <w:link w:val="4"/>
    <w:qFormat/>
    <w:uiPriority w:val="0"/>
    <w:rPr>
      <w:rFonts w:ascii="Arial" w:hAnsi="Arial" w:eastAsia="黑体" w:cs="Times New Roman"/>
      <w:kern w:val="10"/>
      <w:sz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9">
    <w:name w:val="font01"/>
    <w:basedOn w:val="1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2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1">
    <w:name w:val="font11"/>
    <w:basedOn w:val="13"/>
    <w:qFormat/>
    <w:uiPriority w:val="0"/>
    <w:rPr>
      <w:rFonts w:ascii="宋体-简" w:hAnsi="宋体-简" w:eastAsia="宋体-简" w:cs="宋体-简"/>
      <w:color w:val="000000"/>
      <w:sz w:val="24"/>
      <w:szCs w:val="24"/>
      <w:u w:val="none"/>
    </w:rPr>
  </w:style>
  <w:style w:type="character" w:customStyle="1" w:styleId="22">
    <w:name w:val="font3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3">
    <w:name w:val="font4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font6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character" w:customStyle="1" w:styleId="25">
    <w:name w:val="批注文字 Char"/>
    <w:basedOn w:val="13"/>
    <w:link w:val="6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6">
    <w:name w:val="批注主题 Char"/>
    <w:basedOn w:val="25"/>
    <w:link w:val="10"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7">
    <w:name w:val="批注框文本 Char"/>
    <w:basedOn w:val="13"/>
    <w:link w:val="7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14</Pages>
  <Words>1489</Words>
  <Characters>8491</Characters>
  <Lines>70</Lines>
  <Paragraphs>19</Paragraphs>
  <TotalTime>26</TotalTime>
  <ScaleCrop>false</ScaleCrop>
  <LinksUpToDate>false</LinksUpToDate>
  <CharactersWithSpaces>9961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2023-12-07T07:16:00Z</dcterms:created>
  <dc:creator>Administrator</dc:creator>
  <cp:lastModifiedBy>admin</cp:lastModifiedBy>
  <dcterms:modified xsi:type="dcterms:W3CDTF">2023-12-08T08:12:11Z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D703A34A1AF51067771E7165919A208E_43</vt:lpwstr>
  </property>
</Properties>
</file>